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0EC86E82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</w:t>
      </w:r>
      <w:r w:rsidR="00EC67DA">
        <w:rPr>
          <w:rFonts w:ascii="Arial Narrow" w:hAnsi="Arial Narrow" w:cs="Arial"/>
          <w:b/>
          <w:sz w:val="22"/>
        </w:rPr>
        <w:t>….</w:t>
      </w:r>
      <w:proofErr w:type="gramEnd"/>
      <w:r w:rsidRPr="007F6DEE">
        <w:rPr>
          <w:rFonts w:ascii="Arial Narrow" w:hAnsi="Arial Narrow" w:cs="Arial"/>
          <w:b/>
          <w:sz w:val="22"/>
        </w:rPr>
        <w:t>….</w:t>
      </w:r>
      <w:r w:rsidR="00EC67DA">
        <w:rPr>
          <w:rFonts w:ascii="Arial Narrow" w:hAnsi="Arial Narrow" w:cs="Arial"/>
          <w:b/>
          <w:sz w:val="22"/>
        </w:rPr>
        <w:t xml:space="preserve"> </w:t>
      </w:r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>:……………….</w:t>
      </w:r>
      <w:r w:rsidRPr="00EC67DA">
        <w:rPr>
          <w:rFonts w:ascii="Arial Narrow" w:hAnsi="Arial Narrow" w:cs="Arial"/>
          <w:bCs/>
          <w:sz w:val="22"/>
        </w:rPr>
        <w:t xml:space="preserve"> </w:t>
      </w:r>
      <w:r w:rsidRPr="00EC67DA">
        <w:rPr>
          <w:rFonts w:ascii="Arial Narrow" w:hAnsi="Arial Narrow" w:cs="Calibri"/>
          <w:bCs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6ED98171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EC67DA">
        <w:rPr>
          <w:rFonts w:ascii="Arial Narrow" w:hAnsi="Arial Narrow" w:cs="Tahoma"/>
          <w:color w:val="000000"/>
          <w:sz w:val="22"/>
        </w:rPr>
        <w:t>5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59041BE9" w14:textId="77777777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0DAF9D4D" w14:textId="77777777" w:rsidR="008E7E1E" w:rsidRPr="007F6DE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2947B208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 xml:space="preserve">Nombre y Apellido: </w:t>
      </w:r>
    </w:p>
    <w:p w14:paraId="22D0D046" w14:textId="41F1E02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 xml:space="preserve">RUC: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169" w14:textId="22FC5A1E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796DBCAC" wp14:editId="19CFD2F3">
          <wp:simplePos x="0" y="0"/>
          <wp:positionH relativeFrom="margin">
            <wp:align>right</wp:align>
          </wp:positionH>
          <wp:positionV relativeFrom="paragraph">
            <wp:posOffset>-93980</wp:posOffset>
          </wp:positionV>
          <wp:extent cx="1085850" cy="7239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EC67DA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EC67DA" w:rsidRDefault="003529F2" w:rsidP="003529F2">
          <w:pPr>
            <w:rPr>
              <w:rFonts w:ascii="Arial Narrow" w:hAnsi="Arial Narrow" w:cs="Calibri"/>
              <w:sz w:val="18"/>
              <w:szCs w:val="18"/>
            </w:rPr>
          </w:pPr>
          <w:r w:rsidRPr="00EC67DA">
            <w:rPr>
              <w:rFonts w:ascii="Arial Narrow" w:hAnsi="Arial Narrow" w:cs="Calibri"/>
              <w:sz w:val="18"/>
              <w:szCs w:val="18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EC67DA" w:rsidRDefault="003529F2" w:rsidP="003529F2">
          <w:pPr>
            <w:jc w:val="center"/>
            <w:rPr>
              <w:rFonts w:ascii="Arial Narrow" w:hAnsi="Arial Narrow" w:cs="Calibri"/>
              <w:sz w:val="18"/>
              <w:szCs w:val="18"/>
            </w:rPr>
          </w:pPr>
          <w:r w:rsidRPr="00EC67DA">
            <w:rPr>
              <w:rFonts w:ascii="Arial Narrow" w:hAnsi="Arial Narrow" w:cs="Calibri"/>
              <w:sz w:val="18"/>
              <w:szCs w:val="18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EC67DA" w:rsidRDefault="003529F2" w:rsidP="003529F2">
          <w:pPr>
            <w:rPr>
              <w:rFonts w:ascii="Arial Narrow" w:hAnsi="Arial Narrow" w:cs="Calibri"/>
              <w:sz w:val="18"/>
              <w:szCs w:val="18"/>
            </w:rPr>
          </w:pPr>
        </w:p>
        <w:p w14:paraId="39453B2F" w14:textId="77777777" w:rsidR="003529F2" w:rsidRPr="00EC67DA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 w:cs="Calibri"/>
              <w:sz w:val="18"/>
              <w:szCs w:val="18"/>
            </w:rPr>
          </w:pPr>
          <w:r w:rsidRPr="00EC67DA">
            <w:rPr>
              <w:rFonts w:ascii="Arial Narrow" w:hAnsi="Arial Narrow" w:cs="Calibri"/>
              <w:sz w:val="18"/>
              <w:szCs w:val="18"/>
            </w:rPr>
            <w:t>Ministerio</w:t>
          </w:r>
        </w:p>
        <w:p w14:paraId="2FFC51F7" w14:textId="77777777" w:rsidR="003529F2" w:rsidRPr="00EC67DA" w:rsidRDefault="003529F2" w:rsidP="003529F2">
          <w:pPr>
            <w:rPr>
              <w:rFonts w:ascii="Arial Narrow" w:hAnsi="Arial Narrow" w:cs="Calibri"/>
              <w:sz w:val="18"/>
              <w:szCs w:val="18"/>
            </w:rPr>
          </w:pPr>
          <w:r w:rsidRPr="00EC67DA">
            <w:rPr>
              <w:rFonts w:ascii="Arial Narrow" w:hAnsi="Arial Narrow" w:cs="Calibri"/>
              <w:sz w:val="18"/>
              <w:szCs w:val="18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EC67DA" w:rsidRDefault="003529F2" w:rsidP="003529F2">
          <w:pPr>
            <w:rPr>
              <w:rFonts w:ascii="Arial Narrow" w:hAnsi="Arial Narrow" w:cs="Calibri"/>
              <w:sz w:val="18"/>
              <w:szCs w:val="18"/>
            </w:rPr>
          </w:pPr>
        </w:p>
        <w:p w14:paraId="47557071" w14:textId="77777777" w:rsidR="003529F2" w:rsidRPr="00EC67DA" w:rsidRDefault="003529F2" w:rsidP="003529F2">
          <w:pPr>
            <w:rPr>
              <w:rFonts w:ascii="Arial Narrow" w:hAnsi="Arial Narrow" w:cs="Calibri"/>
              <w:sz w:val="18"/>
              <w:szCs w:val="18"/>
            </w:rPr>
          </w:pPr>
          <w:r w:rsidRPr="00EC67DA">
            <w:rPr>
              <w:rFonts w:ascii="Arial Narrow" w:hAnsi="Arial Narrow" w:cs="Calibri"/>
              <w:sz w:val="18"/>
              <w:szCs w:val="18"/>
            </w:rPr>
            <w:t>Vice-Ministerio de</w:t>
          </w:r>
        </w:p>
        <w:p w14:paraId="33C789F9" w14:textId="77777777" w:rsidR="003529F2" w:rsidRPr="00EC67DA" w:rsidRDefault="003529F2" w:rsidP="003529F2">
          <w:pPr>
            <w:rPr>
              <w:rFonts w:ascii="Arial Narrow" w:hAnsi="Arial Narrow" w:cs="Calibri"/>
              <w:sz w:val="18"/>
              <w:szCs w:val="18"/>
            </w:rPr>
          </w:pPr>
          <w:r w:rsidRPr="00EC67DA">
            <w:rPr>
              <w:rFonts w:ascii="Arial Narrow" w:hAnsi="Arial Narrow" w:cs="Calibri"/>
              <w:sz w:val="18"/>
              <w:szCs w:val="18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EC67DA" w:rsidRDefault="003529F2" w:rsidP="003529F2">
          <w:pPr>
            <w:rPr>
              <w:rFonts w:ascii="Arial Narrow" w:hAnsi="Arial Narrow" w:cs="Calibri"/>
              <w:sz w:val="18"/>
              <w:szCs w:val="18"/>
            </w:rPr>
          </w:pPr>
        </w:p>
        <w:p w14:paraId="1E851AF7" w14:textId="77777777" w:rsidR="003529F2" w:rsidRPr="00EC67DA" w:rsidRDefault="003529F2" w:rsidP="003529F2">
          <w:pPr>
            <w:rPr>
              <w:rFonts w:ascii="Arial Narrow" w:hAnsi="Arial Narrow" w:cs="Calibri"/>
              <w:sz w:val="18"/>
              <w:szCs w:val="18"/>
            </w:rPr>
          </w:pPr>
          <w:r w:rsidRPr="00EC67DA">
            <w:rPr>
              <w:rFonts w:ascii="Arial Narrow" w:hAnsi="Arial Narrow" w:cs="Calibri"/>
              <w:sz w:val="18"/>
              <w:szCs w:val="18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EC67DA">
      <w:rPr>
        <w:rFonts w:ascii="Arial Narrow" w:hAnsi="Arial Narrow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6D02D699" w14:textId="77777777" w:rsidR="00EC67DA" w:rsidRPr="00EC67DA" w:rsidRDefault="00EC67DA" w:rsidP="00EC67DA">
    <w:pPr>
      <w:tabs>
        <w:tab w:val="center" w:pos="4252"/>
        <w:tab w:val="right" w:pos="8504"/>
      </w:tabs>
      <w:jc w:val="center"/>
      <w:rPr>
        <w:rFonts w:ascii="Arial Narrow" w:hAnsi="Arial Narrow" w:cs="Calibri"/>
        <w:sz w:val="18"/>
        <w:szCs w:val="18"/>
      </w:rPr>
    </w:pPr>
    <w:r w:rsidRPr="00EC67DA">
      <w:rPr>
        <w:rFonts w:ascii="Arial Narrow" w:hAnsi="Arial Narrow" w:cs="Calibri"/>
        <w:sz w:val="18"/>
        <w:szCs w:val="18"/>
      </w:rPr>
      <w:t>“Año de la recuperación y consolidación de la economía peruana”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EC67DA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Magaly Anali Gonzales Lopez</cp:lastModifiedBy>
  <cp:revision>9</cp:revision>
  <cp:lastPrinted>2017-07-11T23:25:00Z</cp:lastPrinted>
  <dcterms:created xsi:type="dcterms:W3CDTF">2021-05-12T19:48:00Z</dcterms:created>
  <dcterms:modified xsi:type="dcterms:W3CDTF">2025-04-23T15:59:00Z</dcterms:modified>
</cp:coreProperties>
</file>